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Carbon Monoxide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Carbon Monoxide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Avoid breathing dust/fume/gas/mist/ vapors/spray.</w:t>
      </w:r>
    </w:p>
    <w:p w14:paraId="195FF9F1" w14:textId="6F344639" w:rsidR="00774D1C" w:rsidRDefault="00D26433" w:rsidP="000525C2">
      <w:r>
        <w:t>[In case of inadequate ventilation] wear respiratory protection.</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Leaking gas fire: Do not extinguish, unless leak can be stopped safely.</w:t>
      </w:r>
    </w:p>
    <w:p w14:paraId="35C39499" w14:textId="77777777" w:rsidR="00B1183A" w:rsidRDefault="00B1183A" w:rsidP="00B1183A">
      <w:r>
        <w:t>Eliminate all ignition sources if safe to do so.</w:t>
      </w:r>
    </w:p>
    <w:p w14:paraId="35C39499" w14:textId="77777777" w:rsidR="00B1183A" w:rsidRDefault="00B1183A" w:rsidP="00B1183A">
      <w:r>
        <w:t>Do NOT induce vomiting.</w:t>
      </w:r>
    </w:p>
    <w:p w14:paraId="35C39499" w14:textId="77777777" w:rsidR="00B1183A" w:rsidRDefault="00B1183A" w:rsidP="00B1183A">
      <w:r>
        <w:t>If swallowed: Rinse mouth. Do NOT induce vomiting.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Immediately call a poison center or doctor.</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630-08-0</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CARBON MONOXIDE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CARBON OXIDE; CARBON OXIDE (CO); UN 1016; CO</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full facepiece and operated in a pressure-demand or other positive-pressure mode in combination with a separate escape supply.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full facepiece and operated in a pressure-demand or other positive-pressure mode in combination with a separate escape supply.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Stop leak, evacuate area. Wear protective equipment.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Subject to California Safe Drinking Water and Toxic Enforcement Act of 1986 (Proposition 65).</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Grounding and bonding required. Subject to storage regulations: U.S. OSHA 29 CFR 1910.101.</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CARBON MONOXIDE: 50 ppm (55 mg/m3) OSHA TWA 35 ppm (40 mg/m3) OSHA TWA (vacated by 58 FR 35338, June 30, 1993) 200 ppm (229 mg/m3) OSHA ceiling (vacated by 58 FR 35338, June 30, 1993) 25 ppm ACGIH TWA 35 ppm (40 mg/m3) NIOSH recommended TWA 10 hour(s) 200 ppm (229 mg/m3) NIOSH recommended ceiling</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Eye protection not required, but recommended.</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Protective clothing is not required.</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supplied-air respirator with full facepiece and operated in a pressure-demand or other positive-pressure mode in combination with a separate escape supply.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Odorless</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Tasteless</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1479.11 (log = 3.17) (estimated from water solubility)</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1128-1202 F (609-650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0.74</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12.0-12.5%</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-312.7 F (-191.5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-326 F (-199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760 mmHg @ -191 C gas; cannot be liquefied at room temperature</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0.968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2.3%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0.01657 cP @ 0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28.01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C-O</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1.250 g/L @ 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benzene, acetic acid, ethyl acetate, chloroform, cuprous chloride solutions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halogens, metal oxides, metals, combustible materials, lithium</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Inhalation Gas. Rat 1807 ppm 4 hours</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Changes in body temperature, changes in blood pressure, nausea, vomiting, chest pain, difficulty breathing, irregular heartbeat, headache, drowsiness, dizziness, disorientation, hallucinations, pain in extremities, tremors, loss of coordination, hearing loss, visual disturbances, eye damage, suffocation, blood disorders, convulsions, coma</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No information on significant adverse effects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No information on significant adverse effects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Blood damage, suffocation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75000 ug/L 1 day(s) LC100 (Mortality) Orangespotted sunfish (Lepomis humilis)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Relatively non-persistent in the environment. Highly volatile from water.</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expected to leach through the soil or the sediment.</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D001.</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Carbon monoxide, compressed</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UN1016</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25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D</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Carbon monoxide, compressed</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UN1016</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Carbon monoxide Developmental toxicity (Jul 01, 1989)</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D1A, D2A.</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23:21:42</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