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Dimethylamine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Dimethylamine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Dust Inhale Toxicity (Category 4)</w:t>
      </w:r>
    </w:p>
    <w:p w14:paraId="062E3DC7" w14:textId="4FB2BA6A" w:rsidR="00B0516C" w:rsidRDefault="00104D75" w:rsidP="00104D75">
      <w:r w:rsidRPr="00104D75">
        <w:t>Acute Gas Inhale Toxicity (Category 1)</w:t>
      </w:r>
    </w:p>
    <w:p w14:paraId="062E3DC7" w14:textId="4FB2BA6A" w:rsidR="00B0516C" w:rsidRDefault="00104D75" w:rsidP="00104D75">
      <w:r w:rsidRPr="00104D75">
        <w:t>Acute Oral Toxicity (Category 4)</w:t>
      </w:r>
    </w:p>
    <w:p w14:paraId="062E3DC7" w14:textId="4FB2BA6A" w:rsidR="00B0516C" w:rsidRDefault="00104D75" w:rsidP="00104D75">
      <w:r w:rsidRPr="00104D75">
        <w:t>Acute Vapor Inhale Toxicity (Category 3)</w:t>
      </w:r>
    </w:p>
    <w:p w14:paraId="062E3DC7" w14:textId="4FB2BA6A" w:rsidR="00B0516C" w:rsidRDefault="00104D75" w:rsidP="00104D75">
      <w:r w:rsidRPr="00104D75">
        <w:t>Eye Effects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Harmful if inhaled</w:t>
      </w:r>
    </w:p>
    <w:p w14:paraId="67FBCD51" w14:textId="19FE4ACD" w:rsidR="00104D75" w:rsidRPr="00104D75" w:rsidRDefault="00104D75" w:rsidP="00104D75">
      <w:r w:rsidRPr="00104D75">
        <w:t>Harmful if swallowed</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Wear eye protection/face protection.</w:t>
      </w:r>
    </w:p>
    <w:p w14:paraId="195FF9F1" w14:textId="6F344639" w:rsidR="00774D1C" w:rsidRDefault="00D26433" w:rsidP="000525C2">
      <w:r>
        <w:t>Do not eat, drink or smoke when using this product.</w:t>
      </w:r>
    </w:p>
    <w:p w14:paraId="195FF9F1" w14:textId="6F344639" w:rsidR="00774D1C" w:rsidRDefault="00D26433" w:rsidP="000525C2">
      <w:r>
        <w:t>[In case of inadequate ventilation] wear respiratory protection.</w:t>
      </w:r>
    </w:p>
    <w:p w14:paraId="195FF9F1" w14:textId="6F344639" w:rsidR="00774D1C" w:rsidRDefault="00D26433" w:rsidP="000525C2">
      <w:r>
        <w:t>Do not breathe dust/fume/gas/mist/ vapors/spray..</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124-40-3</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DIMETHYLAMINE, ANHYDROUS</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amines,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N-METHYLMETHANAMINE; DMA; DIMETHYLAMINE, AQUEOUS SOLUTION; DIMETHYLAMINE SOLUTION; DIMETHYLAMINE; O-2443; RCRA U092; UN 1032</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Thoroughly clean and dry contaminated clothing before reuse. Destroy contaminated shoes. If necessary, and it can be done safely, continue rinsing with water during transport to emergency care facility.</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DO NOT induce vomiting. Never make an unconscious person vomit or drink fluids. Give large amounts of water or milk. When vomiting occurs, keep head lower than hips to help prevent aspiration. If person is unconscious, turn head to side. Get medical attention immediately.</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Keep warm.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Victims of overexposure by inhalation should be observed for up to 72 hours for delayed onset of pulmonary edema.
Use of acidics to neutralize swallowed contents is contraindicated.</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 regular dry chemical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Nitrogen oxides, ammonia, hydrogen cyanide, nitriles, isocyanates, nitrosamines, carbon monoxide, carbon dioxide, and other irritating and toxic fumes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that has a full facepiece and is operated in a pressure-demand or other positive-pressure mode. </w:t>
            </w:r>
          </w:p>
          <w:p w14:paraId="3747A74E" w14:textId="04065F0F" w:rsidR="00FC650C" w:rsidRPr="005612DB"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Protective material types: nitrile gloves, metatarsal shoes</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Stay upwind and keep out of low areas. </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 </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Dig holding area such as lagoon, pond or pit for containment. Collect runoff for disposal as potential hazardous waste. Dike for later disposal. Absorb with sand or other non-combustible material. Add dilute acid. Cover with absorbent sheets, spill-control pads or pillows. Neutralize. Collect with absorbent into suitable container. Absorb with activated carbon. Add a reducing agent. Collect spilled material using mechanical equipment. </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Keep separated from incompatible substances.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Protect cylinders from damage. Use a suitable hand truck to move cylinders; do not drag, roll, slide, or drop. Electrical equipment must be non-sparking or explosion-proof. Never attempt to lift a cylinder by its cap; the cap is intended solely to protect the valve. Never insert an object (e.g., wrench, screwdriver, pry bar) into cap openings; doing so may damage the valve and cause a leak. Use an adjustable strap wrench to remove over-tight or rusted caps. Open valve slowly. If valve is hard to open, discontinue use and contact your supplier.</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DIMETHYLAMINE, ANHYDROUS: DIMETHYLAMINE: 10 ppm (18 mg/m3) OSHA TWA 5 ppm ACGIH TWA 15 ppm ACGIH STEL 10 ppm (18 mg/m3) NIOSH recommended TWA 10 hour(s)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that has a full facepiece and is operated in a pressure-demand or other positive-pressure mode.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Fishy, ammonia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 F (-18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756 F (402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0.144</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0.028</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45 F (7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-134 F (-92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1.72 atm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1.6 (Air =1)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0.68 @ 0 C (liquid)</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Soluble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11.8 (0.1M solution, 0.45%) (calculated)</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0.047-0.34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&gt;1.0 (butyl acetate=1)</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45.09</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C2-H7-N</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alkali solutions</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Metals, acids, combustible materials, halogens, oxidizing materials, nitrating agents, mercury, nitrophenols, lewis acids, alkali metals, acylating agents, epoxides, carbon disulfide, carbon dioxide</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 nitrogen Forms corrosive solutions when exposed to water or moist air.</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698 mg/kg oral-rat LD50</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(possibly severe), difficulty breathing, lung congestion</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 blurred vision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burns, skin burns, eye burns, mucous membrane burns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ACGIH: A4 -Not Classifiable as a Human Carcinogen</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17000 ug/L 96 hour(s) LC50 (Mortality) Rainbow trout,donaldson trout (Oncorhynchus mykiss)</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&gt;100000 ug/L 48 hour(s) LC50 (Mortality) Common shrimp (Crangon crangon)</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1400 ug/L 7 week(s) (Biomass) Green algae (Scenedesmus quadricauda)</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U092.</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Dimethylamine, anhydrous</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UN1032</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150 kg</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None</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Dimethylamine, anhydrous</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UN1032</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2.1; 8</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1000 LBS</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DIMETHYLAMINE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2500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 B1, D2B, E</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HEALTH=3 FIRE=4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23:21:45</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flamme.png" Type="http://schemas.openxmlformats.org/officeDocument/2006/relationships/image" Target="media/flamm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