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Heptane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Heptane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2)</w:t>
      </w:r>
    </w:p>
    <w:p w14:paraId="062E3DC7" w14:textId="4FB2BA6A" w:rsidR="00B0516C" w:rsidRDefault="00104D75" w:rsidP="00104D75">
      <w:r w:rsidRPr="00104D75">
        <w:t>Acute Oral Toxicity (Category 3)</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Toxic if swallowed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142-82-5</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n-HEPTANE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NORMAL HEPTANE; DIPROPYL METHANE; HEPTYL HYDRIDE; DIPROPYLMETHANE; N-HEPTANE; UN 1206; C7H16</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Aspiration hazard. DO NOT induce vomiting. If vomiting occurs, keep head lower than hips to help prevent aspiration. Get immediate medical attention. Give artificial respiration if not breathing.</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Not Available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Irritating, toxic gases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 Remove</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Grounding and bonding required.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HEPTANE: n-HEPTANE: 500 ppm (2000 mg/m3) OSHA TWA 400 ppm (1640 mg/m3) OSHA TWA (vacated by 58 FR 35338, June 30, 1993) 500 ppm (2050 mg/m3) OSHA STEL (vacated by 58 FR 35338, June 30, 1993) 85 ppm (350 mg/m3) NIOSH recommended TWA 10 hour(s) 440 ppm (1800 mg/m3) NIOSH recommended ceiling 15 minute(s) HEPTANE, ALL ISOMERS: 400 ppm ACGIH TWA 500 ppm ACGIH STEL</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Volatile 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Faint odor, gasoline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25 F (-4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399 F (204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0.067</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0.0105</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208 F (98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-132 F (-91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3.45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0.6837</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0.005%</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220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2.80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100.21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C-H3-(C-H2)5-C-H3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Ethanol, ether, chloroform, acetone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combustible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103 gm/m3/4 hour(s) inhalation-rat LC50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loss of appetite, headache, drowsiness, dizziness, emotional disturbances, loss of coordination, suffocation, unconsciousness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aspiration hazard,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LC50 4924000 ug/L Fresh water Fish - Western mosquitofish - Gambusia affinis - Adult 96 hours; 375000 ug/L 96 hour(s) LC50 (Mortality) Mozambiqu</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2500000 ug/L 96 hour(s) LC50 (Mortality) Oligochaete (Branchiura sowerbyi)</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1500 ug/L 8 year(s) EC50 (Photosynthesis) Algae,phytoplankton,algal mat (Algae)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Harmful to aquatic life.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Heptanes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UN1206</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Heptanes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UN1206</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B2 D2B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HEPTANE CAS NUMBER: 142-82-5 SECTION 4</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23:24:15</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