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Methyl Alcohol</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Methyl Alcohol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Aspiration Hazard (Category 1)</w:t>
      </w:r>
    </w:p>
    <w:p w14:paraId="062E3DC7" w14:textId="4FB2BA6A" w:rsidR="00B0516C" w:rsidRDefault="00104D75" w:rsidP="00104D75">
      <w:r w:rsidRPr="00104D75">
        <w:t>Carcinogenicity (Category 2)</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Suspected of causing cancer</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Do not handle until all safety precautions have been read and understood.</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Obtain special instructions before use.</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If swallowed: Rinse mouth. Do NOT induce vomiting.</w:t>
      </w:r>
    </w:p>
    <w:p w14:paraId="35C39499" w14:textId="77777777" w:rsidR="00B1183A" w:rsidRDefault="00B1183A" w:rsidP="00B1183A">
      <w:r>
        <w:t>If exposed or concerned: Get medical advice/attention.</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67-56-1</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METHYL ALCOHOL</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hydroxyls,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METHANOL; WOOD ALCOHOL; METHYL HYDROXIDE; CARBINOL; MONOHYDROXYMETHANE; WOOD SPIRIT; WOOD NAPHTHA; METHYLOL; COLONIAL SPIRIT; COLUMBIAN SPIRIT; PYROXYLIC SPIRIT; STCC 4909230; UN 1230; RCRA U154; CH4O</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Aspiration hazard. DO NOT induce vomiting. If vomiting occurs, keep head lower than hips to help prevent aspiration. Get immediate medical attention. Give artificial respiration if not breathing.</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Antidote: ethanol, oral; calcium gluconate/glucose, intravenous. 4-methylpyrazole, oral, intravenous.</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water, regular foam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 and toxic and irritating fumes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Ventilate area.</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1910.106. Grounding and bonding required. </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Protect from physical damage. Keep separated from incompatible substances. Store outside or in a detached building. Inside storage: Store with flammable liquids.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TLV-TWA: 200 ppm skin (ACIGH)</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safety goggles. Provide eye wash fountain and quick drench shower. </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that has a full facepiece and is operated in a pressure-demand or other positive-pressure mode.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Mild alcohol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52 F (11 C) (CC); also reported as 54 F (12.2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725 F (385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36%</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5.5%</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148.5 F</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-143.9 F</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96 mmHg at 20C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 (air = 1) (calculated)</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(Air = 1) at 70°F (21.1°C)  and 1 atm: 1.11 </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Soluble in all proportions</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4.2-5960 ppm (geometric mean: 160 ppm) (detection); 53-8940 ppm (geometric mean: 690 ppm) (recognition)</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Dynamic - 0.59 mPa.s (0.59 centipoises) at 20 deg C </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32.04</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C-H4-O</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Soluble in all proportions in ethanol, other alcohols, benzene, chloroform, diethyl ether, other ethers, esters, ketones, and most other organic solvents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Normally stable. </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Normally stable. </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agents, peroxides, metals, alkali metals, acetyl bromide</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Decomposes on heating to produce carbon monoxide and formaldehyde.</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Not known. </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LD50 (oral, rat): 5628 mg/kg</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LD50 (dermal, rabbit): 15800 mg/kg (cited as 20 mL/kg)</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Mild central nervous system depressant, nausea, headache, vomiting, dizziness, sensitivity to light, blurred, double and/or snowy vision, and blindness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Mild central nervous system depressant, nausea, headache, vomiting, dizziness, sensitivity to light, blurred, double and/or snowy vision, and blindness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Mild central nervous system depressant. May cause headache, nausea, dizziness, drowsiness, and incoordination. Severe vision effects, including increased sensitivity to light, blurred vision, and blindness may develop following an 8-24 hour symptom-free period. Coma and death may result. </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May be carcinogenic.</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Insufficient information</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Acute EC50 22200 to 23400 mg/L Fresh water Daphnia - Water flea - Daphnia obtusa - Neonate - &lt;24 hours 48 hours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Acute LC50 2500000 ug/L Marine water Crustaceans - Common shrimp, sand shrimp - Crangon crangon - Adult 48 hours</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Use a licensed waste disposal contractor. Dispose of according to all regulations. </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METHANOL</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UN1230</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3, 6.1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FLAMMABLE LIQUID, POISON  </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 kg or L</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METHANOL</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UN1230</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Not regulated.</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Not regulated.</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Not regulated.</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Not regulated.</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Not regulated.</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N/A</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B2, D1B, D2A, D2B</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N/A</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N/A</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Not available</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23:24:49</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