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Nitric Oxide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Nitric Oxide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rondfl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dflam.png"/>
                    <pic:cNvPicPr/>
                  </pic:nvPicPr>
                  <pic:blipFill>
                    <a:blip r:embed="rIdrondflam.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acid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png"/>
                    <pic:cNvPicPr/>
                  </pic:nvPicPr>
                  <pic:blipFill>
                    <a:blip r:embed="rIdacid_red.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Corrosive To Metal (Category 1)</w:t>
      </w:r>
    </w:p>
    <w:p w14:paraId="062E3DC7" w14:textId="4FB2BA6A" w:rsidR="00B0516C" w:rsidRDefault="00104D75" w:rsidP="00104D75">
      <w:r w:rsidRPr="00104D75">
        <w:t>Gases Under Pressure</w:t>
      </w:r>
    </w:p>
    <w:p w14:paraId="062E3DC7" w14:textId="4FB2BA6A" w:rsidR="00B0516C" w:rsidRDefault="00104D75" w:rsidP="00104D75">
      <w:r w:rsidRPr="00104D75">
        <w:t>Oxidizing Gas (Category 1)</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May be corrosive to metals</w:t>
      </w:r>
    </w:p>
    <w:p w14:paraId="67FBCD51" w14:textId="19FE4ACD" w:rsidR="00104D75" w:rsidRPr="00104D75" w:rsidRDefault="00104D75" w:rsidP="00104D75">
      <w:r w:rsidRPr="00104D75">
        <w:t>May cause or intensify fire; oxidizer</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Keep reduction valves/valves and fittings free from oil and grease.</w:t>
      </w:r>
    </w:p>
    <w:p w14:paraId="195FF9F1" w14:textId="6F344639" w:rsidR="00774D1C" w:rsidRDefault="00D26433" w:rsidP="000525C2">
      <w:r>
        <w:t>Keep only in original container.</w:t>
      </w:r>
    </w:p>
    <w:p w14:paraId="195FF9F1" w14:textId="6F344639" w:rsidR="00774D1C" w:rsidRDefault="00D26433" w:rsidP="000525C2">
      <w:r>
        <w:t>Keep and store away from clothing and combustible materials.</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Absorb spillage to prevent material damage.</w:t>
      </w:r>
    </w:p>
    <w:p w14:paraId="35C39499" w14:textId="77777777" w:rsidR="00B1183A" w:rsidRDefault="00B1183A" w:rsidP="00B1183A">
      <w:r>
        <w:t>In case of fire: Stop leak if safe to do so.</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Protect from sunlight. </w:t>
      </w:r>
    </w:p>
    <w:p w14:paraId="108F8D8A" w14:textId="77777777" w:rsidR="00B1183A" w:rsidRDefault="00B1183A" w:rsidP="00B1183A">
      <w:r>
        <w:t>Store in well-ventilated place.</w:t>
      </w:r>
    </w:p>
    <w:p w14:paraId="108F8D8A" w14:textId="77777777" w:rsidR="00B1183A" w:rsidRDefault="00B1183A" w:rsidP="00B1183A">
      <w:r>
        <w:t>Store in corrosive resistant container with a resistant inner liner.</w:t>
      </w:r>
    </w:p>
    <w:p w14:paraId="108F8D8A" w14:textId="77777777" w:rsidR="00B1183A" w:rsidRDefault="00B1183A" w:rsidP="00B1183A">
      <w:r>
        <w:t/>
      </w:r>
    </w:p>
    <w:p w14:paraId="6E359F2D" w14:textId="07218251" w:rsidR="00B1183A" w:rsidRPr="00B1183A" w:rsidRDefault="00B1183A" w:rsidP="00B1183A">
      <w:pPr>
        <w:rPr>
          <w:b/>
        </w:rPr>
      </w:pPr>
      <w:r w:rsidRPr="00B1183A">
        <w:rPr>
          <w:b/>
        </w:rP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10102-43-9</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NITRIC OXIDE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inorganic, gas</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NITROGEN OXIDE (NO); NITRIC OXIDE (NO); NITRIC OXIDE TRIMER; NITROGEN MONOXIDE; NITROGEN MONOOXIDE; NITROGEN OXIDE (N4O4); NITROSYL RADICAL; RCRA P076; STCC 4920330; UN 1660; NO</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skin with soap and water for at least 15 minutes while removing contaminated clothing and shoes. Get medical attention, if needed. Thoroughly clean and dry contaminated clothing and shoes before reuse.</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 large amount is swallowed, get medical attention.</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None</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Water  Do not use dry chemicals, carbon dioxide or halogenated extinguishing agents. Large fires: Flood with fine water spray.</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Nitrogen oxides</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with a full facepiece.</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with a full facepiece.</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 Ventilate closed spaces before entering. Avoid contact with combustible materials.</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Avoid contamination of water, soil, drains, and sewers.</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Contact emergency personnel.</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Notify Local Emergency Planning Committee and State Emergency Response Commission for release greater than or equal to RQ (U.S. SARA Section 304). If release occurs in the U.S. and is reportable under CERCLA Section 103, notify the National Response Ceter at (800)424-8802 (USA) or (202)426-2675 (USA).</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NFPA 430 Code for the Storage of Liquid and Solid Oxidizing Materials. Notify State Emergency Response Commission for storage or use at amounts greater than or equal to the TPQ (U.S. EPA SARA Section 302). SARA Section 303 requires facilities storing a material with a TPQ to participate in local emergency response planning (U.S. EPA 40 CFR 355.30).</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Keep separated from incompatible substances. </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NITRIC OXIDE: 25 ppm (30 mg/m3) OSHA TWA 25 ppm ACGIH TWA 25 ppm (30 mg/m3) NIOSH recommended TWA 10 hour(s)</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splash resistant safety goggles.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appropriate chemical resistant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Any self-contained breathing apparatus with a full facepiece.</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Clear</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Not available</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applicable</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Nonflammable</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Nonflammable</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Nonflammable</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-242 F (-152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-263 F (-164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26000 mmHg @ 20 C</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1.036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7.3% @ 0 C</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0.3-1.0 ppm</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0.0188 cP @ 25 C</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30.01</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1.3402 g/L</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applicable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Sulfuric acid, alcohol, ferrous sulfate solutions, carbon disulfide</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May react on contact with air. May react on contact with water. Releases toxic, corrosive, flammable or explosive gases. May explode during distillation or evaporation.</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May react on contact with air. May react on contact with water. Releases toxic, corrosive, flammable or explosive gases. May explode during distillation or evaporation.</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Metals, bases, metal oxides, reducing agents, combustible materials, halo carbons, oxidizing materials, halogens, metal carbide, metal salts</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Oxides of nitrogen</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LC50 Inhalation Gas. Rat 1068 mg/m³ 4 hours</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Not available</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Irritation, nausea, vomiting, stomach pain, chest pain, difficulty breathing, headache, dizziness, bluish skin color, lung congestion</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 (possibly severe)</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Irritation (possibly severe)</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Harmful if inhaled, respiratory tract irritation, skin irritation, blood damage</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available</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Not 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Not available</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Not available</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Not available</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Readily biodegrades</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expected to leach through the soil or the sediment.</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Subject to disposal regulations: U.S. EPA 40 CFR 262. Hazardous Waste Number(s): D001. D003. Dispose in accordance with all applicable regulations.</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Nitric oxide, compressed</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UN1660</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Not applicable</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 5.1;8</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Toxic-Inhalation Hazard Zone A</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Nitric oxide, compressed</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UN1660</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2.3; 5.1; 8</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Not applicable</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 LBS RQ</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100 LBS TPQ</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10 LBS RQ</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 </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Not regulated.</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250 LBS TQ</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Not regulated.</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ACD1</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HEALTH=4 FIRE=0 REACTIVITY=1</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23:24:52</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rondflam.png" Type="http://schemas.openxmlformats.org/officeDocument/2006/relationships/image" Target="media/rondflam.png"/>
  <Relationship Id="rIdacid_red.png" Type="http://schemas.openxmlformats.org/officeDocument/2006/relationships/image" Target="media/acid_red.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