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Nitrogen Dioxide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Nitrogen Dioxide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rondf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flam.png"/>
                    <pic:cNvPicPr/>
                  </pic:nvPicPr>
                  <pic:blipFill>
                    <a:blip r:embed="rIdrondflam.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Oral Toxicity (Category 4)</w:t>
      </w:r>
    </w:p>
    <w:p w14:paraId="062E3DC7" w14:textId="4FB2BA6A" w:rsidR="00B0516C" w:rsidRDefault="00104D75" w:rsidP="00104D75">
      <w:r w:rsidRPr="00104D75">
        <w:t>Aspiration Hazard (Category 1)</w:t>
      </w:r>
    </w:p>
    <w:p w14:paraId="062E3DC7" w14:textId="4FB2BA6A" w:rsidR="00B0516C" w:rsidRDefault="00104D75" w:rsidP="00104D75">
      <w:r w:rsidRPr="00104D75">
        <w:t>Carcinogenicity (Category 2)</w:t>
      </w:r>
    </w:p>
    <w:p w14:paraId="062E3DC7" w14:textId="4FB2BA6A" w:rsidR="00B0516C" w:rsidRDefault="00104D75" w:rsidP="00104D75">
      <w:r w:rsidRPr="00104D75">
        <w:t>Corrosive To Metal (Category 1)</w:t>
      </w:r>
    </w:p>
    <w:p w14:paraId="062E3DC7" w14:textId="4FB2BA6A" w:rsidR="00B0516C" w:rsidRDefault="00104D75" w:rsidP="00104D75">
      <w:r w:rsidRPr="00104D75">
        <w:t>Eye Effects (Category 2.B)</w:t>
      </w:r>
    </w:p>
    <w:p w14:paraId="062E3DC7" w14:textId="4FB2BA6A" w:rsidR="00B0516C" w:rsidRDefault="00104D75" w:rsidP="00104D75">
      <w:r w:rsidRPr="00104D75">
        <w:t>Gases Under Pressure</w:t>
      </w:r>
    </w:p>
    <w:p w14:paraId="062E3DC7" w14:textId="4FB2BA6A" w:rsidR="00B0516C" w:rsidRDefault="00104D75" w:rsidP="00104D75">
      <w:r w:rsidRPr="00104D75">
        <w:t>Oxidizing Gas (Category 1)</w:t>
      </w:r>
    </w:p>
    <w:p w14:paraId="062E3DC7" w14:textId="4FB2BA6A" w:rsidR="00B0516C" w:rsidRDefault="00104D75" w:rsidP="00104D75">
      <w:r w:rsidRPr="00104D75">
        <w:t>Reproductive Toxicity (Category 2)</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Harmful if swallowed</w:t>
      </w:r>
    </w:p>
    <w:p w14:paraId="67FBCD51" w14:textId="19FE4ACD" w:rsidR="00104D75" w:rsidRPr="00104D75" w:rsidRDefault="00104D75" w:rsidP="00104D75">
      <w:r w:rsidRPr="00104D75">
        <w:t>May be corrosive to metals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May cause or intensify fire; oxidizer</w:t>
      </w:r>
    </w:p>
    <w:p w14:paraId="67FBCD51" w14:textId="19FE4ACD" w:rsidR="00104D75" w:rsidRPr="00104D75" w:rsidRDefault="00104D75" w:rsidP="00104D75">
      <w:r w:rsidRPr="00104D75">
        <w:t>Suspected of causing cancer</w:t>
      </w:r>
    </w:p>
    <w:p w14:paraId="67FBCD51" w14:textId="19FE4ACD" w:rsidR="00104D75" w:rsidRPr="00104D75" w:rsidRDefault="00104D75" w:rsidP="00104D75">
      <w:r w:rsidRPr="00104D75">
        <w:t>Suspected of damaging fertility or the unborn child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Do not eat, drink or smoke when using this product.</w:t>
      </w:r>
    </w:p>
    <w:p w14:paraId="195FF9F1" w14:textId="6F344639" w:rsidR="00774D1C" w:rsidRDefault="00D26433" w:rsidP="000525C2">
      <w:r>
        <w:t>Keep and store away from clothing and combustible materials.</w:t>
      </w:r>
    </w:p>
    <w:p w14:paraId="195FF9F1" w14:textId="6F344639" w:rsidR="00774D1C" w:rsidRDefault="00D26433" w:rsidP="000525C2">
      <w:r>
        <w:t>Do not handle until all safety precautions have been read and understood.</w:t>
      </w:r>
    </w:p>
    <w:p w14:paraId="195FF9F1" w14:textId="6F344639" w:rsidR="00774D1C" w:rsidRDefault="00D26433" w:rsidP="000525C2">
      <w:r>
        <w:t>Keep reduction valves/valves and fittings free from oil and grease.</w:t>
      </w:r>
    </w:p>
    <w:p w14:paraId="195FF9F1" w14:textId="6F344639" w:rsidR="00774D1C" w:rsidRDefault="00D26433" w:rsidP="000525C2">
      <w:r>
        <w:t>Keep only in original container.</w:t>
      </w:r>
    </w:p>
    <w:p w14:paraId="195FF9F1" w14:textId="6F344639" w:rsidR="00774D1C" w:rsidRDefault="00D26433" w:rsidP="000525C2">
      <w:r>
        <w:t>Wear protective gloves, protective clothing, eye protection and face protection.</w:t>
      </w:r>
    </w:p>
    <w:p w14:paraId="195FF9F1" w14:textId="6F344639" w:rsidR="00774D1C" w:rsidRDefault="00D26433" w:rsidP="000525C2">
      <w:r>
        <w:t>Obtain special instructions before use.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Immediately call a poison center or doctor.</w:t>
      </w:r>
    </w:p>
    <w:p w14:paraId="35C39499" w14:textId="77777777" w:rsidR="00B1183A" w:rsidRDefault="00B1183A" w:rsidP="00B1183A">
      <w:r>
        <w:t>In case of fire: Stop leak if safe to do so.</w:t>
      </w:r>
    </w:p>
    <w:p w14:paraId="35C39499" w14:textId="77777777" w:rsidR="00B1183A" w:rsidRDefault="00B1183A" w:rsidP="00B1183A">
      <w:r>
        <w:t>Do NOT induce vomiting.</w:t>
      </w:r>
    </w:p>
    <w:p w14:paraId="35C39499" w14:textId="77777777" w:rsidR="00B1183A" w:rsidRDefault="00B1183A" w:rsidP="00B1183A">
      <w:r>
        <w:t>Absorb spillage to prevent material damage.</w:t>
      </w:r>
    </w:p>
    <w:p w14:paraId="35C39499" w14:textId="77777777" w:rsidR="00B1183A" w:rsidRDefault="00B1183A" w:rsidP="00B1183A">
      <w:r>
        <w:t>If swallowed: Rinse mouth. Do NOT induce vomiting.</w:t>
      </w:r>
    </w:p>
    <w:p w14:paraId="35C39499" w14:textId="77777777" w:rsidR="00B1183A" w:rsidRDefault="00B1183A" w:rsidP="00B1183A">
      <w:r>
        <w:t>If exposed or concerned: Get medical advice/attention.</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corrosive resistant container with a resistant inner liner.</w:t>
      </w:r>
    </w:p>
    <w:p w14:paraId="108F8D8A" w14:textId="77777777" w:rsidR="00B1183A" w:rsidRDefault="00B1183A" w:rsidP="00B1183A">
      <w:r>
        <w:t>Protect from sunlight. </w:t>
      </w:r>
    </w:p>
    <w:p w14:paraId="108F8D8A" w14:textId="77777777" w:rsidR="00B1183A" w:rsidRDefault="00B1183A" w:rsidP="00B1183A">
      <w:r>
        <w:t>Store in well-ventilated place.</w:t>
      </w:r>
    </w:p>
    <w:p w14:paraId="108F8D8A" w14:textId="77777777" w:rsidR="00B1183A" w:rsidRDefault="00B1183A" w:rsidP="00B1183A">
      <w:r>
        <w:t>Store locked up.</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10102-44-0</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NITROGEN DIOXIDE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Inorganic nitrogen compound / nitrogen oxide / inorganic gas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Dinitrogen tetroxide
Dinitrogen tetroxide, liquefied
Nitrogen dioxide, liquefied
Nitrogen oxide
Nitrogen peroxide
Nitrogen peroxide, liquefied
Nitrogen tetroxide</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Not applicable route of exposure</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None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Non-flammable gas. Use suitable extinguishing media for surrounding fire. </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Thermal decomposition to give nitric oxide and oxygen when heated above 160 deg C</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 Use a chemical protective suit. </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 Use a chemical protective suit. </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Stay upwind and keep out of low areas.</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 Keep out of water supplies and sewers. </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Not available. </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Contact emergency personnel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None. </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1910.101. Keep separated from incompatible substances.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Avoid using in confined spaces. </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TLV-TWA: 3 ppm Short-term Exposure Limits (TLV-STEL): 5ppm</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Eye protection not required, but recommended.</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with a full facepiece. Use a chemical protective suit. </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Yellow to dark brown</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Pungent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applicable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 </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70.1F </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12 F (-11 C) </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760 mmHg @ 21.1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1.58 (air=1) </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1.449 </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Reacts to form nitric acid and nitrous acid; nitrous acid then decomposes to nitric acid and nitric oxide.</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 solutions are very acidic</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Reported values vary. 0.11-0.14 ppm (minimum perceptible value)</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0.42 cP @ 20 C </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46.01 (NO2) or 92.01 (N2O4) </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N-O2 or N2-O4</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Alkalies, chloroform, carbon disulfide and concentrated nitric and sulfuric acids.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Normally stable. Nitrogen dioxide thermally decomposes to nitric oxide and oxygen when heated above 160 deg C.</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Normally stable. Nitrogen dioxide thermally decomposes to nitric oxide and oxygen when heated above 160 deg C.</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ACETIC ANHYDRIDE, ALCOHOLS, AMMONIA, BORON TRICHLORIDE, CALCIUM, DIMETHYL SULFOXIDE, FORMALDEHYDE , hydrogen, oxygen, metals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Decomposes in water to form nitric acid and nitrous acid. </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 </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Inhalation Vapor Rat 790 mg/m3 5 minutes</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Respiratory tract irritation, cough, dyspnea, headache, nausea, irregular heartbeat, fatigue, pulmonary edema, rapid breathing, increased heart rate, dyspnea, chest pain, bleeding from the lungs or small airways and cyanosis (bluish discoloration of the skin)</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Liquid: burns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irritation, difficulty breathing, skin irritation, eye irritation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May be a carcinogen</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Mutagenic</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May have reproductive effects.</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Acute LC50 19600 ug/L Fresh water Fish - Tench - Tinca tinca - LARVAE - 20 days - 11.18 mm - 11.36 mg 96 hours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Acute LC50 79450 ug/L Marine water Crustaceans - Redtail prawn - Penaeus penicillatus - 3.58 to 4.75 cm - 0.4 to 0.69 g 48 hours</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federal and local regulations. </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DINITROGEN TETROXIDE; or NITROGEN DIOXIDE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UN1067</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2.3, 5.1</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DINITROGEN TETROXIDE</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DINITROGEN TETROXIDE; or NITROGEN DIOXIDE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UN1067</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N/A</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available</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 C, D1A, D2B, E </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Not available</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23:24:54</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rondflam.png" Type="http://schemas.openxmlformats.org/officeDocument/2006/relationships/image" Target="media/rondflam.png"/>
  <Relationship Id="rIdsilhouete.png" Type="http://schemas.openxmlformats.org/officeDocument/2006/relationships/image" Target="media/silhouete.png"/>
  <Relationship Id="rIdacid_red.png" Type="http://schemas.openxmlformats.org/officeDocument/2006/relationships/image" Target="media/acid_red.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