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Octane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Octane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2)</w:t>
      </w:r>
    </w:p>
    <w:p w14:paraId="062E3DC7" w14:textId="4FB2BA6A" w:rsidR="00B0516C" w:rsidRDefault="00104D75" w:rsidP="00104D75">
      <w:r w:rsidRPr="00104D75">
        <w:t>Eye Effects (Category 2.B)</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eye irritation</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Wash thoroughly after handling.</w:t>
      </w:r>
    </w:p>
    <w:p w14:paraId="195FF9F1" w14:textId="6F344639" w:rsidR="00774D1C" w:rsidRDefault="00D26433" w:rsidP="000525C2">
      <w:r>
        <w:t>[In case of inadequate ventilation] wear respiratory protection.</w:t>
      </w:r>
    </w:p>
    <w:p w14:paraId="195FF9F1" w14:textId="6F344639" w:rsidR="00774D1C" w:rsidRDefault="00D26433" w:rsidP="000525C2">
      <w:r>
        <w:t>Do not breathe dust/fume/gas/mist/ vapors/spray..</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111-65-9</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OCTANE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hydrocarbons, aliphatic</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N-OCTANE; STCC 4909250; UN 1262; O-3980; C8H18</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Contact local poison control center or physician immediately. Never make an unconscious person vomit or drink fluids. When vomiting occurs, keep head lower than hips to help prevent aspiration. If person is unconscious, turn head to side. Get medical attention immediately.</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ingestion, consider gastric lavage.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Regular dry chemical, carbon dioxide, water, regular foam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monoxide, carbon dioxide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 Any self-contained breathing apparatus with a full facepiece.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 Any self-contained breathing apparatus with a full facepiece.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None</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Avoid heat and sparks. Protect cylinders from damage.</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OCTANE: 500 ppm (2350 mg/m3) OSHA TWA 300 ppm (1450 mg/m3) OSHA TWA (vacated by 58 FR 35338, June 30, 1993) 375 ppm (1800 mg/m3) OSHA STEL (vacated by 58 FR35338, June 30, 1993) 300 ppm ACGIH TWA 75 ppm (350 mg/m3) NIOSH recommended TWA 10 hour(s) 385 ppm (1800 mg/m3) NIOSH recommended ceiling 15 minute(s)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 Any self-contained breathing apparatus with a full facepiece.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Gasoline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55 F (13 C) (CC)</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IB</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403 F (206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0.065</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0.01</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259 F (126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-71 F (-57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11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3.9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0.71</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Insoluble</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150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&lt;32 SUS</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114.23</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C8-H18</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Ether, acetone, benzene, chloroform, gasolines, petroleum ether</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Stable at normal temperatures and pressure.</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Stable at normal temperatures and pressure.</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Oxidizing materials, peroxides, combustible materials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carbon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 50,518 ppmv, 1 hr, rat</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nausea, difficulty breathing, headache, drowsiness, symptoms of drunkenness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blisters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irritation, skin irritation, eye irritation, central nervous system depression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100000 ug/L 96 hour(s) (Mortality) Coho salmon, silver salmon (Oncorhynchus kisutch)</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120 ug/L 1.67 hour(s) EC50 (Food Consumption) Common bay mussel, blue mussel (Mytilus edulis)</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1 ug/L 9 year(s) EC50 (Photosynthesis) Diatom (Skeletonema costatum)</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Octanes</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UN1262</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II</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3</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Octanes</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UN1262</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3</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II</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B</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HEALTH=2 FIRE=3 REACTIVITY=0</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23:24:56</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flamme.png" Type="http://schemas.openxmlformats.org/officeDocument/2006/relationships/image" Target="media/flamme.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