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Silane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Silane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Keep away from heat/sparks/open flames/hot surfaces. - No smoking.</w:t>
      </w:r>
    </w:p>
    <w:p w14:paraId="195FF9F1" w14:textId="6F344639" w:rsidR="00774D1C" w:rsidRDefault="00D26433" w:rsidP="000525C2">
      <w:r>
        <w:t>Wash thoroughly after handling.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Eliminate all ignition sources if safe to do so.</w:t>
      </w:r>
    </w:p>
    <w:p w14:paraId="35C39499" w14:textId="77777777" w:rsidR="00B1183A" w:rsidRDefault="00B1183A" w:rsidP="00B1183A">
      <w:r>
        <w:t>Leaking gas fire: Do not extinguish, unless leak can be stopped safely.</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7803-62-5</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SILANE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hydrides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MONOSILANE (SIH4); SILICANE; SILICON HYDRIDE (SIH4); SILICON TETRAHYDRIDE; SILICON HYDRIDE; MONOSILANE; STCC 4920168; UN 2203; H4Si</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None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 regular dry chemical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Pyrophoric or shock-sensitive, dark-colored solids may be formed due to incomplete oxidation</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Ventilate closed spaces before entering.</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Evacuate area. Contact emergency personnel.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1910.101. Store above -110 C. Store in a tightly closed container. </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May ignite on exposure to air. Keep separated from incompatible substances. </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SILANE: 5 ppm (7 mg/m3) OSHA TWA (vacated by 58 FR 35338, June 30, 1993) 5 ppm ACGIH TWA 5 ppm (7 mg/m3) NIOSH recommended TWA 10 hour(s).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helmet with full face shield and fire-proof hood to prevent any possibility of burns if in contact with this substance.</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Unpleasant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-170 F (-112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-301 F (-185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1.3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Insoluble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0.01092 cP @ 25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32.12</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SI-H4</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1.342 g/L @ 20 C</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Insoluble: Not available</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May ignite on exposure to air.</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May ignite on exposure to air.</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Metal salts, bases, halogens, oxidizing materials </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Silicon, hydrogen. Thermal decomposition in the presence of air produces hydrogen gas, silicon, silicon oxides and unidentified dark-colored solid substances that may be pyrophoric or shock-sensitive. </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 LC50, 1 hr, rat = 19,200 ppm </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nausea, headache</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 blurred vision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Liquid: irritation, blisters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skin irritation, eye irritation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D001.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Silane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UN2203</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Silane, compressed</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UN2203</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AB</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FIRE=4 REACTIVITY=3</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23:25:44</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flamme.png" Type="http://schemas.openxmlformats.org/officeDocument/2006/relationships/image" Target="media/flamme.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