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Sulfur Dioxide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Sulfur Dioxide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3)</w:t>
      </w:r>
    </w:p>
    <w:p w14:paraId="062E3DC7" w14:textId="4FB2BA6A" w:rsidR="00B0516C" w:rsidRDefault="00104D75" w:rsidP="00104D75">
      <w:r w:rsidRPr="00104D75">
        <w:t>Aspiration Hazard (Category 1)</w:t>
      </w:r>
    </w:p>
    <w:p w14:paraId="062E3DC7" w14:textId="4FB2BA6A" w:rsidR="00B0516C" w:rsidRDefault="00104D75" w:rsidP="00104D75">
      <w:r w:rsidRPr="00104D75">
        <w:t>Corrosive To Metal (Category 1)</w:t>
      </w:r>
    </w:p>
    <w:p w14:paraId="062E3DC7" w14:textId="4FB2BA6A" w:rsidR="00B0516C" w:rsidRDefault="00104D75" w:rsidP="00104D75">
      <w:r w:rsidRPr="00104D75">
        <w:t>Eye Effects (Category 1)</w:t>
      </w:r>
    </w:p>
    <w:p w14:paraId="062E3DC7" w14:textId="4FB2BA6A" w:rsidR="00B0516C" w:rsidRDefault="00104D75" w:rsidP="00104D75">
      <w:r w:rsidRPr="00104D75">
        <w:t>Gases Under Pressure</w:t>
      </w:r>
    </w:p>
    <w:p w14:paraId="062E3DC7" w14:textId="4FB2BA6A" w:rsidR="00B0516C" w:rsidRDefault="00104D75" w:rsidP="00104D75">
      <w:r w:rsidRPr="00104D75">
        <w:t>Skin Corrosion (Category 1.C)</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Causes severe skin burns and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May be corrosive to metals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Toxic to aquatic life</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Do not breathe dust/fume/gas/mist/ vapors/spray..</w:t>
      </w:r>
    </w:p>
    <w:p w14:paraId="195FF9F1" w14:textId="6F344639" w:rsidR="00774D1C" w:rsidRDefault="00D26433" w:rsidP="000525C2">
      <w:r>
        <w:t>[In case of inadequate ventilation] wear respiratory protection.</w:t>
      </w:r>
    </w:p>
    <w:p w14:paraId="195FF9F1" w14:textId="6F344639" w:rsidR="00774D1C" w:rsidRDefault="00D26433" w:rsidP="000525C2">
      <w:r>
        <w:t>Use only outdoors or in a well-ventilated area.</w:t>
      </w:r>
    </w:p>
    <w:p w14:paraId="195FF9F1" w14:textId="6F344639" w:rsidR="00774D1C" w:rsidRDefault="00D26433" w:rsidP="000525C2">
      <w:r>
        <w:t>Keep only in original container.</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If on skin (or hair): Take off immediately all contaminated clothing. Rinse skin with water/shower.</w:t>
      </w:r>
    </w:p>
    <w:p w14:paraId="35C39499" w14:textId="77777777" w:rsidR="00B1183A" w:rsidRDefault="00B1183A" w:rsidP="00B1183A">
      <w:r>
        <w:t>Immediately call a poison center or doctor.</w:t>
      </w:r>
    </w:p>
    <w:p w14:paraId="35C39499" w14:textId="77777777" w:rsidR="00B1183A" w:rsidRDefault="00B1183A" w:rsidP="00B1183A">
      <w:r>
        <w:t>Do NOT induce vomiting.</w:t>
      </w:r>
    </w:p>
    <w:p w14:paraId="35C39499" w14:textId="77777777" w:rsidR="00B1183A" w:rsidRDefault="00B1183A" w:rsidP="00B1183A">
      <w:r>
        <w:t>Absorb spillage to prevent material damage.</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Store in corrosive resistant container with a resistant inner liner.</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7446-09-5</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SULFUR DIOXIDE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SULFUROUS ACID ANHYDRIDE; SULFUROUS OXIDE; SULPHUR DIOXIDE; SULFUROUS ANHYDRIDE; FERMENTICIDE LIQUID; SULFUR DIOXIDE(SO2); SULFUR OXIDE; SULFUR OXIDE(SO2); STCC 4904290; UN 1079; O2S</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immediate medical attention.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Non-flammable. Use suitable extinguishing media for surrounding fire. </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None known</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Non-flammable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Non-flammable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 Ventilate closed spaces before entering. Evacuation radius: 150 feet.</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contamination of environment.</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Do not get water directly on material.</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Stop leak, evacuate area. Contact emergency personnel. </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Protect from physical damage. Store outside or in a detached building. Store in a well-ventilated area.  Notify State Emergency Response Commission for storage or use at amounts greater than or equal to the TPQ (U.S. EPA SARA Section 302). SARA Section 303 requires facilities storing a material with a TPQ to participate in local emergency response planning (U.S. EPA 40 CFR 355.30).</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 Use in ventilated area. </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SULFUR DIOXIDE: 2 ppm (5 mg/m3) OSHA TWA (vacated by 58 FR 35338, June 30, 1993) 5 ppm (13 mg/m3) OSHA STEL (vacated by 58 FR 35338, June 30, 1993) 5 ppm (13 mg/m3) OSHA TWA 2 ppm ACGIH TWA 5 ppm ACGIH STEL 2 ppm (5 mg/m3) NIOSH recommended TWA 10 hour(s) 5 ppm (13 mg/m3) NIOSH recommended STEL</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Wear appropriate chemical resistant clothing. For the liquid: Wear appropriate protective, cold insulating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Non-flammable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Irritating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flammable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 F (-10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-99 F (-73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2432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2.26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1.462 @ -10 C</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22.8% @ 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Acidic in solution</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3-5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&gt;1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64.06</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S-O2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0.169</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acetic acid, sulfuric acid, ether, chloroform, benzene, sulfuryl chloride, nitrobenzenes, toluene, acetone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Combustible materials, metals, bases, oxidizing materials, halogens, metal carbide, metal oxides, peroxides, reducing agents, potassium, sodium, nitryl chloride, acrolein, metal oxides, carbide</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Forms sulfurous acid solution on reaction with water.</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 LC50, 1 hr, rat = 2520 ppm</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Allergic reactions, burns, toxic</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Corrosive, burns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Corrosive, 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burns, skin burns, eye burns, allergic reactions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IARC: Human Inadequate Evidence, Animal Limited Evidence, Group 3; ACGIH: A4 -Not Classifiable as a Human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3000 ug/L 0.667-0.833 hour(s) (Avoidance) Atlantic menhaden (Brevoortia tyrannus)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500 ug/L 6 day(s) (Cellular) Green algae (Rhizoclonium hieroglyphicum)</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&gt;=150 ug/L NR hour(s) (Biochemical) Duckweed (Lemna minor)</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Sulfur dioxide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UN1079</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8</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C</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Sulfur dioxide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UN1079</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1000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AD1</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FIRE=0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23:25:44</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