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Toluene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Toluene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acid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png"/>
                    <pic:cNvPicPr/>
                  </pic:nvPicPr>
                  <pic:blipFill>
                    <a:blip r:embed="rIdacid_red.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6"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Gas Inhale Toxicity (Category 1)</w:t>
      </w:r>
    </w:p>
    <w:p w14:paraId="062E3DC7" w14:textId="4FB2BA6A" w:rsidR="00B0516C" w:rsidRDefault="00104D75" w:rsidP="00104D75">
      <w:r w:rsidRPr="00104D75">
        <w:t>Acute Oral Toxicity (Category 4)</w:t>
      </w:r>
    </w:p>
    <w:p w14:paraId="062E3DC7" w14:textId="4FB2BA6A" w:rsidR="00B0516C" w:rsidRDefault="00104D75" w:rsidP="00104D75">
      <w:r w:rsidRPr="00104D75">
        <w:t>Aspiration Hazard (Category 1)</w:t>
      </w:r>
    </w:p>
    <w:p w14:paraId="062E3DC7" w14:textId="4FB2BA6A" w:rsidR="00B0516C" w:rsidRDefault="00104D75" w:rsidP="00104D75">
      <w:r w:rsidRPr="00104D75">
        <w:t>Eye Effects (Category 1)</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serious eye damage</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Fatal if inhaled</w:t>
      </w:r>
    </w:p>
    <w:p w14:paraId="67FBCD51" w14:textId="19FE4ACD" w:rsidR="00104D75" w:rsidRPr="00104D75" w:rsidRDefault="00104D75" w:rsidP="00104D75">
      <w:r w:rsidRPr="00104D75">
        <w:t>Harmful if swallowed</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Toxic to aquatic life</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Wear eye protection/face protection.</w:t>
      </w:r>
    </w:p>
    <w:p w14:paraId="195FF9F1" w14:textId="6F344639" w:rsidR="00774D1C" w:rsidRDefault="00D26433" w:rsidP="000525C2">
      <w:r>
        <w:t>Do not eat, drink or smoke when using this product.</w:t>
      </w:r>
    </w:p>
    <w:p w14:paraId="195FF9F1" w14:textId="6F344639" w:rsidR="00774D1C" w:rsidRDefault="00D26433" w:rsidP="000525C2">
      <w:r>
        <w:t>[In case of inadequate ventilation] wear respiratory protection.</w:t>
      </w:r>
    </w:p>
    <w:p w14:paraId="195FF9F1" w14:textId="6F344639" w:rsidR="00774D1C" w:rsidRDefault="00D26433" w:rsidP="000525C2">
      <w:r>
        <w:t>Do not breathe dust/fume/gas/mist/ vapors/spray..</w:t>
      </w:r>
    </w:p>
    <w:p w14:paraId="195FF9F1" w14:textId="6F344639" w:rsidR="00774D1C" w:rsidRDefault="00D26433" w:rsidP="000525C2">
      <w:r>
        <w:t>Use only outdoors or in a well-ventilated area.</w:t>
      </w:r>
    </w:p>
    <w:p w14:paraId="195FF9F1" w14:textId="6F344639" w:rsidR="00774D1C" w:rsidRDefault="00D26433" w:rsidP="000525C2">
      <w:r>
        <w:t>Keep away from heat/sparks/open flames/hot surfaces. - No smoking.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Do NOT induce vomiting.</w:t>
      </w:r>
    </w:p>
    <w:p w14:paraId="35C39499" w14:textId="77777777" w:rsidR="00B1183A" w:rsidRDefault="00B1183A" w:rsidP="00B1183A">
      <w:r>
        <w:t>Specific treatment is urgent.</w:t>
      </w:r>
    </w:p>
    <w:p w14:paraId="35C39499" w14:textId="77777777" w:rsidR="00B1183A" w:rsidRDefault="00B1183A" w:rsidP="00B1183A">
      <w:r>
        <w:t>If swallowed: Rinse mouth. Do NOT induce vomiting.</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108-88-3</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TOLUENE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hydrocarbons, aromatic</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METHYLBENZENE; TOLUOL; METHYLBENZOL; PHENYLMETHANE; METHACIDE; RCRA U220; UN 1294; C7H8</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medical attention, if needed. Thoroughly clean and dry contaminated clothing and shoes before reuse.</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Aspiration hazard. DO NOT induce vomiting. If vomiting occurs, keep head lower than hips to help prevent aspiration. Get immediate medical attention. Give artificial respiration if not breathing.</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None</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Regular dry chemical, carbon dioxide, water, regular foam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Carbon monoxide, carbon dioxide and toxic and irritating fumes</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 Any self-contained breathing apparatus with a full facepiece.</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 Any self-contained breathing apparatus with a full facepiece.</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Stay upwind and keep out of low areas.</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 Keep out of water supplies and sewers. </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Remove sources of ignition. Dig holding area such as lagoon, pond or pit for containment.</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Small spills: Absorb with sand or other non-combustible material. Collect spilled material in appropriate container for disposal. Large spills: Dike for later disposal. Collect with absorbent into suitable container. Absorb with activated carbon. Collect spilled material using mechanical equipment. Cover with absorbent sheets, spill-control pads or pillows. Apply detergents, soaps, alcohols or another surface active agent. Remove trapped material with suction hoses.</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Section103, notify the National Response Center at (800)424-8802 (USA) or (202)426-2675 (USA). Subject to California Safe Drinking Water and Toxic Enforcement Act of 1986 (Proposition 65).</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Subject to storage regulations: U.S. OSHA 29 CFR 1910.106.  Store outside or in a detached building. Store with flammable liquids.  Store in a tightly closed container. Store in a cool, dry place.</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Protect from physical damage. Keep separated from incompatible substances. Grounding and bonding required.</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TOLUENE: 200 ppm OSHA TWA 300 ppm OSHA ceiling 500 ppm OSHA peak 10 minute(s) 100 ppm (377 mg/m3) OSHA TWA (vacated by 58 FR 35338, June 30, 1993) 150 ppm (565 mg/m3) OSHA STEL (vacated by 58 FR 35338, June 30, 1993) 50 ppm ACGIH TWA (skin) 100 ppm (375mg/m3) NIOSH recommended TWA 10 hour(s) 150 ppm (560 mg/m3) NIOSH recommended STEL</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with a face shield.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 Any self-contained breathing apparatus with a full facepiece.</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Liquid</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Clear</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Liquid</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Distinct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39 F (4 C) (CC)</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IB</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896 F (480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0.071</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0.012</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232 F (111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-139 F (-95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22 mmHg @ 20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3.14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0.8669</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0.05% @ 20 C</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10-15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2.24 (butyl acetate=1)</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0.560 mPa.s @ 25 C</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92.14</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C6-H5-C-H3</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100%</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Alcohol, ether, benzene, acetone, ligroin, chloroform, acetic acid, carbon disulfide</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Stable at normal temperatures and pressure.</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Stable at normal temperatures and pressure.</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Halogens, combustible materials, acids, oxidizing materials, metal salts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Oxides of carbon, hydrocarbons</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636 mg/kg oral-rat LD50</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14100 ul/kg skin-rabbit LD50</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metallic taste, nausea, headache, drowsiness, symptoms of drunkenness, tingling sensation, dilated pupils, kidney damage, liver damage, nerve damage</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(possibly severe), tearing</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Respiratory tract irritation, skin irritation, eye irritation, aspiration hazard, central nervous system depression, nerve damage</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IARC: Human Inadequate Evidence, Animal Evidence Suggesting Lack of Carcinogenicity, Group 3; ACGIH: A4 -Not Classifiable as a Human Carcinogen</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8110 ug/L 96 hour(s) LC50 (Mortality) Coho salmon, silver salmon (Oncorhynchus kisutch)</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6000 ug/L 48 hour(s) EC50 (Immobilization) Water flea (Daphnia magna)</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9400 ug/L 8 hour(s) EC50 (Growth) Green algae (Selenastrum capricornutum)</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 Subject to disposal regulations: U.S. EPA 40 CFR 262. Hazardous Waste Number(s): U220.</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Toluene</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UN1294</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II</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3</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5 kg or L</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60L</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Toluene</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UN1294</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3</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II</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1000 LBS RQ</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TOLUENE</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Not regulated.</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Known to the state of California to cause the following: TOLUENE Developmental toxicity (Jan 01, 1991)</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BD2</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HEALTH=2 FIRE=3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23:25:46</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flamme.png" Type="http://schemas.openxmlformats.org/officeDocument/2006/relationships/image" Target="media/flamme.png"/>
  <Relationship Id="rIdacid_red.png" Type="http://schemas.openxmlformats.org/officeDocument/2006/relationships/image" Target="media/acid_red.png"/>
  <Relationship Id="rIdskull.png" Type="http://schemas.openxmlformats.org/officeDocument/2006/relationships/image" Target="media/skull.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