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Trans-2-Butene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Trans-2-Butene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624-64-6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TRANS-2-BUTENE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BETA-BUTYLENE; (C)-2-BUTENE; BETA-TRANS-BUTYLENE; LOW-BOILING BUTENE-2; TRANS-1,2-DIMETHYLETHYLENE; TRANS-BUTENE; TRANS-2-BUTYLENE; TRANSBUTENE- 2; 2-TRANS-BUTENE; 2-TRANS-BUTYLENE; (2E)-2-BUTENE; (E)-2-BUTENE; (E)-BUT-2-ENE; TRANS-BUT-2-ENE; UN 1012; C4H8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Regular dry chemical, high expansion foam  Large fires: Flood with fine water spray. Avoid carbon dioxide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Irritating, toxic gases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 Ventilate closed spaces before entering. Do not touch spilled material.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Evacuate area. Contact emergency personnel.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Grounding and bonding required.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TLV-TWA: 250 ppm (ACGIH)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Gas, liquid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Aromatic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-99 F (-73 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615 F (324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0.097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0.018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34 F (1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-159 F (-106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1592 mmHg @ 21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1.95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0.613 @ 15.5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Insoluble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56.11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C4-H8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Organic solvents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Can polymerize in the presence of catalysts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Vomiting, headache, symptoms of drunkenness, disorientation,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burns,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Butylene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UN1012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Butylene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UN1012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23:25:47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